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E8" w:rsidRPr="00D57EE8" w:rsidRDefault="00D57EE8" w:rsidP="00D57EE8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Рабочая программа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  по </w:t>
      </w:r>
      <w:proofErr w:type="gramStart"/>
      <w:r w:rsidRPr="00D57EE8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алгебре  </w:t>
      </w: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класс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(базовый уровень)</w:t>
      </w:r>
    </w:p>
    <w:p w:rsidR="00D57EE8" w:rsidRPr="00D57EE8" w:rsidRDefault="00D57EE8" w:rsidP="00D57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рабочая программа по алгебре для 7 класса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образования, с учетом преемственности на основании следующих </w:t>
      </w: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нормативных правовых</w:t>
      </w: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документов:</w:t>
      </w:r>
    </w:p>
    <w:p w:rsidR="00D57EE8" w:rsidRPr="00D57EE8" w:rsidRDefault="00D57EE8" w:rsidP="00D57EE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Закона РФ от 10 июля 1992 года №3266-1 (ред. </w:t>
      </w:r>
      <w:proofErr w:type="gram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 27</w:t>
      </w:r>
      <w:proofErr w:type="gram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.12.2009г.) «Об образовании»;</w:t>
      </w:r>
    </w:p>
    <w:p w:rsidR="00D57EE8" w:rsidRPr="00D57EE8" w:rsidRDefault="00D57EE8" w:rsidP="00D57EE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№1089;</w:t>
      </w:r>
    </w:p>
    <w:p w:rsidR="00D57EE8" w:rsidRPr="00D57EE8" w:rsidRDefault="00D57EE8" w:rsidP="00D57EE8">
      <w:pPr>
        <w:numPr>
          <w:ilvl w:val="0"/>
          <w:numId w:val="1"/>
        </w:numPr>
        <w:shd w:val="clear" w:color="auto" w:fill="FFFFFF"/>
        <w:spacing w:after="0" w:line="240" w:lineRule="auto"/>
        <w:ind w:left="4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2014/2015 учебный год»;</w:t>
      </w:r>
    </w:p>
    <w:p w:rsidR="00D57EE8" w:rsidRPr="00D57EE8" w:rsidRDefault="00D57EE8" w:rsidP="00D57EE8">
      <w:pPr>
        <w:numPr>
          <w:ilvl w:val="0"/>
          <w:numId w:val="1"/>
        </w:numPr>
        <w:shd w:val="clear" w:color="auto" w:fill="FFFFFF"/>
        <w:spacing w:after="0" w:line="240" w:lineRule="auto"/>
        <w:ind w:left="4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№1897 от 17.12.2010г. «Об утверждении ФГОС ООО» п.18.2.2;</w:t>
      </w:r>
    </w:p>
    <w:p w:rsidR="00D57EE8" w:rsidRPr="00D57EE8" w:rsidRDefault="00D57EE8" w:rsidP="00D57EE8">
      <w:pPr>
        <w:numPr>
          <w:ilvl w:val="0"/>
          <w:numId w:val="1"/>
        </w:numPr>
        <w:shd w:val="clear" w:color="auto" w:fill="FFFFFF"/>
        <w:spacing w:after="0" w:line="240" w:lineRule="auto"/>
        <w:ind w:left="4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 рабочих программ. 7-9 классы. Пособие для учителей </w:t>
      </w:r>
      <w:proofErr w:type="spell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учреждений / сост. </w:t>
      </w:r>
      <w:proofErr w:type="spell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Т.А.Бурмистрова</w:t>
      </w:r>
      <w:proofErr w:type="spell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Просвещение, 2012), федерального перечня учебников, рекомендованных или допущенных к использованию в образовательном процессе в образовательных учреждениях, базисного учебного плана, тематического планирования учебного материала, с учетом преемственности.</w:t>
      </w:r>
    </w:p>
    <w:p w:rsidR="00D57EE8" w:rsidRPr="00D57EE8" w:rsidRDefault="00D57EE8" w:rsidP="00D57EE8">
      <w:pPr>
        <w:numPr>
          <w:ilvl w:val="0"/>
          <w:numId w:val="1"/>
        </w:numPr>
        <w:shd w:val="clear" w:color="auto" w:fill="FFFFFF"/>
        <w:spacing w:after="0" w:line="240" w:lineRule="auto"/>
        <w:ind w:left="4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также учитываются основные идеи и положения Программы развития и формирования универсальных учебных действий (УУД) для основного общего образования.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учебного курса по алгебре для 7 класса составлена также в соответствии с Примерной программой основного общего образования (базовый уровень) с учетом требований федерального компонента государственного стандарта общего образования и на основе авторской программы Ю. Н. Макарычева. Программа призвана содействовать формированию культурного человека, умеющего мыслить, понимающего идеологию математического моделирования реальных процессов, владеющего математическим языком, как языком, организующим </w:t>
      </w:r>
      <w:proofErr w:type="gram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 умеющего</w:t>
      </w:r>
      <w:proofErr w:type="gram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добывать информацию и пользоваться ею на практике, владеющего литературной речью и умеющего в случае необходимости построить ее по законам математической речи.</w:t>
      </w:r>
    </w:p>
    <w:p w:rsidR="00D57EE8" w:rsidRPr="00D57EE8" w:rsidRDefault="00D57EE8" w:rsidP="00D57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предмета  </w:t>
      </w:r>
    </w:p>
    <w:p w:rsidR="00D57EE8" w:rsidRPr="00D57EE8" w:rsidRDefault="00D57EE8" w:rsidP="00D57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изучения курса алгебры в 7 классе является:</w:t>
      </w:r>
    </w:p>
    <w:p w:rsidR="00D57EE8" w:rsidRPr="00D57EE8" w:rsidRDefault="00D57EE8" w:rsidP="00D57EE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D57EE8" w:rsidRPr="00D57EE8" w:rsidRDefault="00D57EE8" w:rsidP="00D57EE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D57EE8" w:rsidRPr="00D57EE8" w:rsidRDefault="00D57EE8" w:rsidP="00D57EE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D57EE8" w:rsidRPr="00D57EE8" w:rsidRDefault="00D57EE8" w:rsidP="00D57EE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контрпримеры</w:t>
      </w:r>
      <w:proofErr w:type="spell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D57EE8" w:rsidRPr="00D57EE8" w:rsidRDefault="00D57EE8" w:rsidP="00D57EE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обучения математики лежит овладение учащимися следующими видами компетенций: предметной, коммуникативной, организационной и общекультурной. В соответствии с этими видами компетенций выделены основные содержательно-целевые направления (линии) развития учащихся средствами предмета математика.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Предметная компетенция.</w:t>
      </w: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под предметной компетенцией понимается осведомленность школьников о системе основных математических представлений и овладение ими основными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Коммуникативная компетенция.</w:t>
      </w: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Здесь под коммуникативной компетенцией понимается </w:t>
      </w:r>
      <w:proofErr w:type="spell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ясно и четко излагать свои мысли, строить аргументированные рассуждения, вести диалог, воспринимая точку зрения собеседника и в то же время подвергая ее критическому анализу. Формируются следующие образующие эту компетенцию умения: извлекать информацию из разного рода источников, преобразовывая ее при необходимости в другие формы (тексты, таблицы, схемы и т.д.).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компетенция.</w:t>
      </w: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Здесь под организационной компетенцией понимается </w:t>
      </w:r>
      <w:proofErr w:type="spell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самостоятельно </w:t>
      </w: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ее на составные части, на которых будет основываться процесс ее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Общекультурная компетенция.</w:t>
      </w: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под общекультурной компетенцией понимается осведомленность школьников о математике как элементе общечеловеческой культуры, ее месте в системе других наук, а также ее роли в развитии представлений человечества о целостной картине мира. 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значимых черт личности, как независимость и</w:t>
      </w: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критичность мышления, воля и настойчивость в достижении цели и др.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предмета  </w:t>
      </w:r>
    </w:p>
    <w:p w:rsidR="00D57EE8" w:rsidRPr="00D57EE8" w:rsidRDefault="00D57EE8" w:rsidP="00D57E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57EE8" w:rsidRPr="00D57EE8" w:rsidRDefault="00D57EE8" w:rsidP="00D57E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формирование интеллекта, а также личностных качеств, необходимых человеку для полноценной жизни, развиваемых математикой: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57EE8" w:rsidRPr="00D57EE8" w:rsidRDefault="00D57EE8" w:rsidP="00D57E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57EE8" w:rsidRPr="00D57EE8" w:rsidRDefault="00D57EE8" w:rsidP="00D57E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воспитание отношения к математике как к части общечеловеческой культуры, формирование понимания значимости математики для научно-технического прогресса.</w:t>
      </w:r>
    </w:p>
    <w:p w:rsidR="00D57EE8" w:rsidRPr="00D57EE8" w:rsidRDefault="00D57EE8" w:rsidP="00D57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предмета, курса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курсе</w:t>
      </w:r>
      <w:proofErr w:type="gram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алгебры 7 класса можно выделить следующие основные содержательные линии: арифметика; элементы алгебры; вероятность и статистика. Наряду с этим в содержание включены дополнительные темы под рубрикой «Для тех, кто хочет знать больше», что связано с реализацией целей </w:t>
      </w:r>
      <w:proofErr w:type="spell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общеинтеллектуального</w:t>
      </w:r>
      <w:proofErr w:type="spell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общекультурного развития учащихся. Содержание каждой из этих тем разворачивается в содержательно-методическую линию, пронизывающую все основные содержательные линии и служит цели овладения учащимися некоторыми элементами универсального математического языка и владения определенными навыками, а </w:t>
      </w:r>
      <w:proofErr w:type="gram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созданию общекультурного гуманитарного фона изучения курса.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линии «Арифметика»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Линия «Вероятность и статистика»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характер многих реальных зависимостей, производить простейшие расчеты. При изучении вероятности и статистики обогащаются представления о современной картине мира и методах его исследования, формирования понимания роли статистики как источника социально значимой информации и закладываются основы вероятностного </w:t>
      </w:r>
      <w:proofErr w:type="gramStart"/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мышления..</w:t>
      </w:r>
      <w:proofErr w:type="gramEnd"/>
    </w:p>
    <w:p w:rsidR="00D57EE8" w:rsidRPr="00D57EE8" w:rsidRDefault="00D57EE8" w:rsidP="00D57EE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алгебры 7 класса характеризуется повышением теоретического обучения, постепенным усилением роли теоретических обобщений и дедуктивных заключений. Прикладная направленность курса обеспечивается систематическим обращением к примерам, раскрывающим возможности применения математики к изучению действительности и решению практических задач.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в учебном плане</w:t>
      </w:r>
    </w:p>
    <w:p w:rsidR="00D57EE8" w:rsidRPr="00D57EE8" w:rsidRDefault="00D57EE8" w:rsidP="00D57EE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Федеральному базисному учебному плану для образовательных учреждений Российской Федерации для обязательного изучения </w:t>
      </w: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математики </w:t>
      </w: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основного общего образования на изучение алгебры в 7 классе отводится </w:t>
      </w: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102 часа из расчета 3 часа в неделю (34 учебных недели).</w:t>
      </w: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том числе контрольных работ - 10 (включая итоговую контрольную работу)</w:t>
      </w:r>
    </w:p>
    <w:p w:rsidR="00D57EE8" w:rsidRPr="00D57EE8" w:rsidRDefault="00D57EE8" w:rsidP="00D57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D57EE8" w:rsidRDefault="00D57EE8" w:rsidP="00D57EE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содержания обучения осуществляется на основе следующих дидактических принципов: систематизация знаний; соответствие обязательному минимуму содержания образования в основной школе; усиление общекультурной направленности материала; учет психолого-педагогических особенностей, актуальных для возрастного периода; создание условий для понимания и осознания воспринимаемого материала.</w:t>
      </w:r>
    </w:p>
    <w:p w:rsidR="00D17B15" w:rsidRDefault="00D17B15" w:rsidP="00D57EE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B15" w:rsidRDefault="00D17B15" w:rsidP="00D57EE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B15" w:rsidRDefault="00D17B15" w:rsidP="00D57EE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B15" w:rsidRPr="00D57EE8" w:rsidRDefault="00D17B15" w:rsidP="00D57EE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7B15" w:rsidRPr="00D17B15" w:rsidRDefault="00D17B15" w:rsidP="00D17B15">
      <w:pPr>
        <w:suppressAutoHyphens/>
        <w:ind w:left="720"/>
        <w:jc w:val="both"/>
        <w:rPr>
          <w:b/>
          <w:sz w:val="28"/>
          <w:szCs w:val="28"/>
        </w:rPr>
      </w:pPr>
      <w:r w:rsidRPr="00D17B15">
        <w:rPr>
          <w:b/>
          <w:sz w:val="28"/>
          <w:szCs w:val="28"/>
        </w:rPr>
        <w:lastRenderedPageBreak/>
        <w:t>Таблица тематического распределения количества часов:</w:t>
      </w:r>
    </w:p>
    <w:p w:rsidR="00D17B15" w:rsidRPr="00D17B15" w:rsidRDefault="00D17B15" w:rsidP="00D17B15">
      <w:pPr>
        <w:jc w:val="both"/>
        <w:rPr>
          <w:b/>
          <w:sz w:val="28"/>
          <w:szCs w:val="28"/>
        </w:rPr>
      </w:pPr>
    </w:p>
    <w:p w:rsidR="00D17B15" w:rsidRDefault="00D17B15" w:rsidP="00D17B15">
      <w:pPr>
        <w:pStyle w:val="a3"/>
        <w:jc w:val="both"/>
        <w:rPr>
          <w:szCs w:val="28"/>
        </w:rPr>
      </w:pPr>
    </w:p>
    <w:tbl>
      <w:tblPr>
        <w:tblStyle w:val="a5"/>
        <w:tblW w:w="5000" w:type="pct"/>
        <w:tblInd w:w="0" w:type="dxa"/>
        <w:tblLook w:val="01E0" w:firstRow="1" w:lastRow="1" w:firstColumn="1" w:lastColumn="1" w:noHBand="0" w:noVBand="0"/>
      </w:tblPr>
      <w:tblGrid>
        <w:gridCol w:w="617"/>
        <w:gridCol w:w="5302"/>
        <w:gridCol w:w="1713"/>
        <w:gridCol w:w="1713"/>
      </w:tblGrid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в примерной программе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в рабочей программе</w:t>
            </w:r>
          </w:p>
        </w:tc>
      </w:tr>
      <w:tr w:rsidR="00D17B15" w:rsidTr="00D17B15">
        <w:trPr>
          <w:trHeight w:val="371"/>
        </w:trPr>
        <w:tc>
          <w:tcPr>
            <w:tcW w:w="3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Глава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Выражения, тождества, уравнения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D17B15" w:rsidTr="00D17B15">
        <w:trPr>
          <w:trHeight w:val="37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Выражения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7B15" w:rsidTr="00D17B15">
        <w:trPr>
          <w:trHeight w:val="37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Преобразование выражений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17B15" w:rsidTr="00D17B15">
        <w:trPr>
          <w:trHeight w:val="37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7B15" w:rsidTr="00D17B15">
        <w:trPr>
          <w:trHeight w:val="37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Уравнения с одной переменной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7B15" w:rsidTr="00D17B15">
        <w:trPr>
          <w:trHeight w:val="37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характеристики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17B15" w:rsidTr="00D17B15">
        <w:trPr>
          <w:trHeight w:val="37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7B15" w:rsidTr="00D17B15">
        <w:tc>
          <w:tcPr>
            <w:tcW w:w="3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Глава </w:t>
            </w:r>
            <w:r>
              <w:rPr>
                <w:b/>
                <w:sz w:val="28"/>
                <w:szCs w:val="28"/>
                <w:lang w:val="en-US"/>
              </w:rPr>
              <w:t xml:space="preserve">II. </w:t>
            </w:r>
            <w:r>
              <w:rPr>
                <w:b/>
                <w:sz w:val="28"/>
                <w:szCs w:val="28"/>
              </w:rPr>
              <w:t>Функции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и их графики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функция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7B15" w:rsidTr="00D17B15">
        <w:tc>
          <w:tcPr>
            <w:tcW w:w="3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Глава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Степень с натуральным показателем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и её свойства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Одночлены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7B15" w:rsidTr="00D17B15">
        <w:trPr>
          <w:trHeight w:val="477"/>
        </w:trPr>
        <w:tc>
          <w:tcPr>
            <w:tcW w:w="3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Глава </w:t>
            </w:r>
            <w:r>
              <w:rPr>
                <w:b/>
                <w:sz w:val="28"/>
                <w:szCs w:val="28"/>
                <w:lang w:val="en-US"/>
              </w:rPr>
              <w:t xml:space="preserve">IV. </w:t>
            </w:r>
            <w:r>
              <w:rPr>
                <w:b/>
                <w:bCs/>
                <w:sz w:val="28"/>
                <w:szCs w:val="28"/>
              </w:rPr>
              <w:t>Многочлены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</w:tr>
      <w:tr w:rsidR="00D17B15" w:rsidTr="00D17B15">
        <w:trPr>
          <w:trHeight w:val="36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и разность многочленов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Произведение одночлена и многочлена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Произведение многочленов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7B15" w:rsidTr="00D17B15">
        <w:tc>
          <w:tcPr>
            <w:tcW w:w="3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 Формулы сокращённого умножения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 суммы и квадрат разности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Разность квадратов. Сумма и разность кубов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Преобразование целых выражений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7B15" w:rsidTr="00D17B15">
        <w:tc>
          <w:tcPr>
            <w:tcW w:w="3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. Системы линейных уравнений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Линейные уравнения с двумя переменными и их системы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систем линейных уравнений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7B15" w:rsidTr="00D17B15">
        <w:tc>
          <w:tcPr>
            <w:tcW w:w="3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Повторение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зачёт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7B15" w:rsidTr="00D17B1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5" w:rsidRDefault="00D17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17B15" w:rsidTr="00D17B15">
        <w:trPr>
          <w:trHeight w:val="375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5" w:rsidRDefault="00D17B15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shd w:val="clear" w:color="auto" w:fill="FFFFFF"/>
              <w:ind w:left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5" w:rsidRDefault="00D17B15">
            <w:pPr>
              <w:shd w:val="clear" w:color="auto" w:fill="FFFFFF"/>
              <w:ind w:left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102</w:t>
            </w:r>
          </w:p>
        </w:tc>
      </w:tr>
    </w:tbl>
    <w:p w:rsidR="00D17B15" w:rsidRDefault="00D17B15" w:rsidP="00D17B15">
      <w:pPr>
        <w:shd w:val="clear" w:color="auto" w:fill="FFFFFF"/>
        <w:spacing w:line="317" w:lineRule="exac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D30B3" w:rsidRDefault="00D17B15">
      <w:bookmarkStart w:id="0" w:name="_GoBack"/>
      <w:bookmarkEnd w:id="0"/>
    </w:p>
    <w:sectPr w:rsidR="00ED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7F25"/>
    <w:multiLevelType w:val="multilevel"/>
    <w:tmpl w:val="22EA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C518D"/>
    <w:multiLevelType w:val="multilevel"/>
    <w:tmpl w:val="933E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E8"/>
    <w:rsid w:val="000D390A"/>
    <w:rsid w:val="00D17B15"/>
    <w:rsid w:val="00D57EE8"/>
    <w:rsid w:val="00D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2C88"/>
  <w15:chartTrackingRefBased/>
  <w15:docId w15:val="{4A42268C-E7B1-49AE-B0D0-BCD4C1DE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7B15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17B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D17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2018-10-22T17:09:00Z</dcterms:created>
  <dcterms:modified xsi:type="dcterms:W3CDTF">2018-10-22T17:36:00Z</dcterms:modified>
</cp:coreProperties>
</file>